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5" w:type="dxa"/>
        <w:tblInd w:w="-15" w:type="dxa"/>
        <w:tblLayout w:type="fixed"/>
        <w:tblCellMar>
          <w:top w:w="45" w:type="dxa"/>
          <w:left w:w="45" w:type="dxa"/>
          <w:bottom w:w="45" w:type="dxa"/>
          <w:right w:w="45" w:type="dxa"/>
        </w:tblCellMar>
        <w:tblLook w:val="04A0" w:firstRow="1" w:lastRow="0" w:firstColumn="1" w:lastColumn="0" w:noHBand="0" w:noVBand="1"/>
      </w:tblPr>
      <w:tblGrid>
        <w:gridCol w:w="9765"/>
      </w:tblGrid>
      <w:tr w:rsidR="001235B1" w:rsidRPr="0095251D" w14:paraId="2D1E5481" w14:textId="77777777" w:rsidTr="007D46F3">
        <w:tc>
          <w:tcPr>
            <w:tcW w:w="9750" w:type="dxa"/>
            <w:tcBorders>
              <w:top w:val="single" w:sz="4" w:space="0" w:color="auto"/>
              <w:left w:val="single" w:sz="4" w:space="0" w:color="auto"/>
              <w:bottom w:val="nil"/>
              <w:right w:val="single" w:sz="4" w:space="0" w:color="auto"/>
            </w:tcBorders>
            <w:hideMark/>
          </w:tcPr>
          <w:p w14:paraId="20A9CCB1" w14:textId="77777777" w:rsidR="001235B1" w:rsidRPr="0095251D" w:rsidRDefault="001235B1" w:rsidP="007D46F3">
            <w:pPr>
              <w:keepNext/>
              <w:rPr>
                <w:rFonts w:ascii="Arial" w:hAnsi="Arial" w:cs="Arial"/>
              </w:rPr>
            </w:pPr>
            <w:r w:rsidRPr="0095251D">
              <w:rPr>
                <w:rFonts w:ascii="Arial" w:hAnsi="Arial" w:cs="Arial"/>
                <w:b/>
                <w:bCs/>
              </w:rPr>
              <w:t>Engineering Conditions of Acceptability</w:t>
            </w:r>
            <w:r w:rsidRPr="0095251D">
              <w:rPr>
                <w:rFonts w:ascii="Arial" w:hAnsi="Arial" w:cs="Arial"/>
              </w:rPr>
              <w:t xml:space="preserve"> </w:t>
            </w:r>
          </w:p>
        </w:tc>
      </w:tr>
      <w:tr w:rsidR="001235B1" w:rsidRPr="0095251D" w14:paraId="37C5C8FB" w14:textId="77777777" w:rsidTr="007D46F3">
        <w:tc>
          <w:tcPr>
            <w:tcW w:w="9750" w:type="dxa"/>
            <w:tcBorders>
              <w:top w:val="nil"/>
              <w:left w:val="single" w:sz="4" w:space="0" w:color="auto"/>
              <w:bottom w:val="nil"/>
              <w:right w:val="single" w:sz="4" w:space="0" w:color="auto"/>
            </w:tcBorders>
            <w:hideMark/>
          </w:tcPr>
          <w:p w14:paraId="7F9CA729" w14:textId="77777777" w:rsidR="001235B1" w:rsidRPr="0095251D" w:rsidRDefault="001235B1" w:rsidP="007D46F3">
            <w:pPr>
              <w:keepNext/>
              <w:rPr>
                <w:rFonts w:ascii="Arial" w:hAnsi="Arial" w:cs="Arial"/>
              </w:rPr>
            </w:pPr>
            <w:r w:rsidRPr="0095251D">
              <w:rPr>
                <w:rFonts w:ascii="Arial" w:hAnsi="Arial" w:cs="Arial"/>
              </w:rPr>
              <w:t xml:space="preserve">For use only in or with complete equipment where the acceptability of the combination is determined by UL LLC. When installed in an end-product, consideration must be given to the following: </w:t>
            </w:r>
          </w:p>
        </w:tc>
      </w:tr>
      <w:tr w:rsidR="001235B1" w:rsidRPr="0095251D" w14:paraId="7E4D19E3" w14:textId="77777777" w:rsidTr="007D46F3">
        <w:tc>
          <w:tcPr>
            <w:tcW w:w="9750" w:type="dxa"/>
            <w:tcBorders>
              <w:top w:val="nil"/>
              <w:left w:val="single" w:sz="4" w:space="0" w:color="auto"/>
              <w:bottom w:val="nil"/>
              <w:right w:val="single" w:sz="4" w:space="0" w:color="auto"/>
            </w:tcBorders>
            <w:hideMark/>
          </w:tcPr>
          <w:p w14:paraId="39BC0D0A" w14:textId="77777777" w:rsidR="001235B1" w:rsidRPr="0095251D" w:rsidRDefault="001235B1" w:rsidP="001235B1">
            <w:pPr>
              <w:keepNext/>
              <w:numPr>
                <w:ilvl w:val="0"/>
                <w:numId w:val="1"/>
              </w:numPr>
              <w:rPr>
                <w:rFonts w:ascii="Arial" w:hAnsi="Arial" w:cs="Arial"/>
              </w:rPr>
            </w:pPr>
            <w:r w:rsidRPr="0095251D">
              <w:rPr>
                <w:rFonts w:ascii="Arial" w:hAnsi="Arial" w:cs="Arial"/>
              </w:rPr>
              <w:t xml:space="preserve">The following Production-Line tests are conducted for this product: Electric Strength, Earthing Continuity </w:t>
            </w:r>
          </w:p>
        </w:tc>
      </w:tr>
      <w:tr w:rsidR="001235B1" w:rsidRPr="0095251D" w14:paraId="317D5621" w14:textId="77777777" w:rsidTr="007D46F3">
        <w:tc>
          <w:tcPr>
            <w:tcW w:w="9750" w:type="dxa"/>
            <w:tcBorders>
              <w:top w:val="nil"/>
              <w:left w:val="single" w:sz="4" w:space="0" w:color="auto"/>
              <w:bottom w:val="nil"/>
              <w:right w:val="single" w:sz="4" w:space="0" w:color="auto"/>
            </w:tcBorders>
            <w:hideMark/>
          </w:tcPr>
          <w:p w14:paraId="6EE710D3" w14:textId="77777777" w:rsidR="001235B1" w:rsidRPr="0095251D" w:rsidRDefault="001235B1" w:rsidP="001235B1">
            <w:pPr>
              <w:keepNext/>
              <w:numPr>
                <w:ilvl w:val="0"/>
                <w:numId w:val="2"/>
              </w:numPr>
              <w:rPr>
                <w:rFonts w:ascii="Arial" w:hAnsi="Arial" w:cs="Arial"/>
              </w:rPr>
            </w:pPr>
            <w:r w:rsidRPr="0095251D">
              <w:rPr>
                <w:rFonts w:ascii="Arial" w:hAnsi="Arial" w:cs="Arial"/>
              </w:rPr>
              <w:t xml:space="preserve">The end-product Electric Strength Test is to be based upon a maximum working voltage of: PC-0112-150-0:, Primary-Earthed Dead Metal: 242 </w:t>
            </w:r>
            <w:proofErr w:type="spellStart"/>
            <w:r w:rsidRPr="0095251D">
              <w:rPr>
                <w:rFonts w:ascii="Arial" w:hAnsi="Arial" w:cs="Arial"/>
              </w:rPr>
              <w:t>Vrms</w:t>
            </w:r>
            <w:proofErr w:type="spellEnd"/>
            <w:r w:rsidRPr="0095251D">
              <w:rPr>
                <w:rFonts w:ascii="Arial" w:hAnsi="Arial" w:cs="Arial"/>
              </w:rPr>
              <w:t xml:space="preserve">, 416 </w:t>
            </w:r>
            <w:proofErr w:type="spellStart"/>
            <w:r w:rsidRPr="0095251D">
              <w:rPr>
                <w:rFonts w:ascii="Arial" w:hAnsi="Arial" w:cs="Arial"/>
              </w:rPr>
              <w:t>Vpk</w:t>
            </w:r>
            <w:proofErr w:type="spellEnd"/>
            <w:r w:rsidRPr="0095251D">
              <w:rPr>
                <w:rFonts w:ascii="Arial" w:hAnsi="Arial" w:cs="Arial"/>
              </w:rPr>
              <w:t xml:space="preserve">, Primary-SELV: 255 </w:t>
            </w:r>
            <w:proofErr w:type="spellStart"/>
            <w:r w:rsidRPr="0095251D">
              <w:rPr>
                <w:rFonts w:ascii="Arial" w:hAnsi="Arial" w:cs="Arial"/>
              </w:rPr>
              <w:t>Vrms</w:t>
            </w:r>
            <w:proofErr w:type="spellEnd"/>
            <w:r w:rsidRPr="0095251D">
              <w:rPr>
                <w:rFonts w:ascii="Arial" w:hAnsi="Arial" w:cs="Arial"/>
              </w:rPr>
              <w:t xml:space="preserve">, 436 </w:t>
            </w:r>
            <w:proofErr w:type="spellStart"/>
            <w:r w:rsidRPr="0095251D">
              <w:rPr>
                <w:rFonts w:ascii="Arial" w:hAnsi="Arial" w:cs="Arial"/>
              </w:rPr>
              <w:t>Vpk</w:t>
            </w:r>
            <w:proofErr w:type="spellEnd"/>
            <w:r w:rsidRPr="0095251D">
              <w:rPr>
                <w:rFonts w:ascii="Arial" w:hAnsi="Arial" w:cs="Arial"/>
              </w:rPr>
              <w:t xml:space="preserve">, , PC-0124-050-0:, Primary-Earthed Dead Metal: 297 </w:t>
            </w:r>
            <w:proofErr w:type="spellStart"/>
            <w:r w:rsidRPr="0095251D">
              <w:rPr>
                <w:rFonts w:ascii="Arial" w:hAnsi="Arial" w:cs="Arial"/>
              </w:rPr>
              <w:t>Vrms</w:t>
            </w:r>
            <w:proofErr w:type="spellEnd"/>
            <w:r w:rsidRPr="0095251D">
              <w:rPr>
                <w:rFonts w:ascii="Arial" w:hAnsi="Arial" w:cs="Arial"/>
              </w:rPr>
              <w:t xml:space="preserve">, 720 </w:t>
            </w:r>
            <w:proofErr w:type="spellStart"/>
            <w:r w:rsidRPr="0095251D">
              <w:rPr>
                <w:rFonts w:ascii="Arial" w:hAnsi="Arial" w:cs="Arial"/>
              </w:rPr>
              <w:t>Vpk</w:t>
            </w:r>
            <w:proofErr w:type="spellEnd"/>
            <w:r w:rsidRPr="0095251D">
              <w:rPr>
                <w:rFonts w:ascii="Arial" w:hAnsi="Arial" w:cs="Arial"/>
              </w:rPr>
              <w:t xml:space="preserve">, Primary-SELV: 322 </w:t>
            </w:r>
            <w:proofErr w:type="spellStart"/>
            <w:r w:rsidRPr="0095251D">
              <w:rPr>
                <w:rFonts w:ascii="Arial" w:hAnsi="Arial" w:cs="Arial"/>
              </w:rPr>
              <w:t>Vrms</w:t>
            </w:r>
            <w:proofErr w:type="spellEnd"/>
            <w:r w:rsidRPr="0095251D">
              <w:rPr>
                <w:rFonts w:ascii="Arial" w:hAnsi="Arial" w:cs="Arial"/>
              </w:rPr>
              <w:t xml:space="preserve">, 816 </w:t>
            </w:r>
            <w:proofErr w:type="spellStart"/>
            <w:r w:rsidRPr="0095251D">
              <w:rPr>
                <w:rFonts w:ascii="Arial" w:hAnsi="Arial" w:cs="Arial"/>
              </w:rPr>
              <w:t>Vpk</w:t>
            </w:r>
            <w:proofErr w:type="spellEnd"/>
            <w:r w:rsidRPr="0095251D">
              <w:rPr>
                <w:rFonts w:ascii="Arial" w:hAnsi="Arial" w:cs="Arial"/>
              </w:rPr>
              <w:t xml:space="preserve">, , PC-0124-100-0, Primary-Earthed Dead Metal: 245 </w:t>
            </w:r>
            <w:proofErr w:type="spellStart"/>
            <w:r w:rsidRPr="0095251D">
              <w:rPr>
                <w:rFonts w:ascii="Arial" w:hAnsi="Arial" w:cs="Arial"/>
              </w:rPr>
              <w:t>Vrms</w:t>
            </w:r>
            <w:proofErr w:type="spellEnd"/>
            <w:r w:rsidRPr="0095251D">
              <w:rPr>
                <w:rFonts w:ascii="Arial" w:hAnsi="Arial" w:cs="Arial"/>
              </w:rPr>
              <w:t xml:space="preserve">, 448 </w:t>
            </w:r>
            <w:proofErr w:type="spellStart"/>
            <w:r w:rsidRPr="0095251D">
              <w:rPr>
                <w:rFonts w:ascii="Arial" w:hAnsi="Arial" w:cs="Arial"/>
              </w:rPr>
              <w:t>Vpk</w:t>
            </w:r>
            <w:proofErr w:type="spellEnd"/>
            <w:r w:rsidRPr="0095251D">
              <w:rPr>
                <w:rFonts w:ascii="Arial" w:hAnsi="Arial" w:cs="Arial"/>
              </w:rPr>
              <w:t xml:space="preserve">, Primary-SELV: 258 </w:t>
            </w:r>
            <w:proofErr w:type="spellStart"/>
            <w:r w:rsidRPr="0095251D">
              <w:rPr>
                <w:rFonts w:ascii="Arial" w:hAnsi="Arial" w:cs="Arial"/>
              </w:rPr>
              <w:t>Vrms</w:t>
            </w:r>
            <w:proofErr w:type="spellEnd"/>
            <w:r w:rsidRPr="0095251D">
              <w:rPr>
                <w:rFonts w:ascii="Arial" w:hAnsi="Arial" w:cs="Arial"/>
              </w:rPr>
              <w:t xml:space="preserve">, 476 </w:t>
            </w:r>
            <w:proofErr w:type="spellStart"/>
            <w:r w:rsidRPr="0095251D">
              <w:rPr>
                <w:rFonts w:ascii="Arial" w:hAnsi="Arial" w:cs="Arial"/>
              </w:rPr>
              <w:t>Vpk</w:t>
            </w:r>
            <w:proofErr w:type="spellEnd"/>
            <w:r w:rsidRPr="0095251D">
              <w:rPr>
                <w:rFonts w:ascii="Arial" w:hAnsi="Arial" w:cs="Arial"/>
              </w:rPr>
              <w:t xml:space="preserve">, , PC-0124-200-0, Primary-Earthed Dead Metal: 243 </w:t>
            </w:r>
            <w:proofErr w:type="spellStart"/>
            <w:r w:rsidRPr="0095251D">
              <w:rPr>
                <w:rFonts w:ascii="Arial" w:hAnsi="Arial" w:cs="Arial"/>
              </w:rPr>
              <w:t>Vrms</w:t>
            </w:r>
            <w:proofErr w:type="spellEnd"/>
            <w:r w:rsidRPr="0095251D">
              <w:rPr>
                <w:rFonts w:ascii="Arial" w:hAnsi="Arial" w:cs="Arial"/>
              </w:rPr>
              <w:t xml:space="preserve">, 464 </w:t>
            </w:r>
            <w:proofErr w:type="spellStart"/>
            <w:r w:rsidRPr="0095251D">
              <w:rPr>
                <w:rFonts w:ascii="Arial" w:hAnsi="Arial" w:cs="Arial"/>
              </w:rPr>
              <w:t>Vpk</w:t>
            </w:r>
            <w:proofErr w:type="spellEnd"/>
            <w:r w:rsidRPr="0095251D">
              <w:rPr>
                <w:rFonts w:ascii="Arial" w:hAnsi="Arial" w:cs="Arial"/>
              </w:rPr>
              <w:t xml:space="preserve">, Primary-SELV: 266 </w:t>
            </w:r>
            <w:proofErr w:type="spellStart"/>
            <w:r w:rsidRPr="0095251D">
              <w:rPr>
                <w:rFonts w:ascii="Arial" w:hAnsi="Arial" w:cs="Arial"/>
              </w:rPr>
              <w:t>Vrms</w:t>
            </w:r>
            <w:proofErr w:type="spellEnd"/>
            <w:r w:rsidRPr="0095251D">
              <w:rPr>
                <w:rFonts w:ascii="Arial" w:hAnsi="Arial" w:cs="Arial"/>
              </w:rPr>
              <w:t xml:space="preserve">, 496 </w:t>
            </w:r>
            <w:proofErr w:type="spellStart"/>
            <w:r w:rsidRPr="0095251D">
              <w:rPr>
                <w:rFonts w:ascii="Arial" w:hAnsi="Arial" w:cs="Arial"/>
              </w:rPr>
              <w:t>Vpk</w:t>
            </w:r>
            <w:proofErr w:type="spellEnd"/>
            <w:r w:rsidRPr="0095251D">
              <w:rPr>
                <w:rFonts w:ascii="Arial" w:hAnsi="Arial" w:cs="Arial"/>
              </w:rPr>
              <w:t xml:space="preserve">, , PC-0148-050-0, Primary-Earthed Dead Metal: 241 </w:t>
            </w:r>
            <w:proofErr w:type="spellStart"/>
            <w:r w:rsidRPr="0095251D">
              <w:rPr>
                <w:rFonts w:ascii="Arial" w:hAnsi="Arial" w:cs="Arial"/>
              </w:rPr>
              <w:t>Vrms</w:t>
            </w:r>
            <w:proofErr w:type="spellEnd"/>
            <w:r w:rsidRPr="0095251D">
              <w:rPr>
                <w:rFonts w:ascii="Arial" w:hAnsi="Arial" w:cs="Arial"/>
              </w:rPr>
              <w:t xml:space="preserve">, 464 </w:t>
            </w:r>
            <w:proofErr w:type="spellStart"/>
            <w:r w:rsidRPr="0095251D">
              <w:rPr>
                <w:rFonts w:ascii="Arial" w:hAnsi="Arial" w:cs="Arial"/>
              </w:rPr>
              <w:t>Vpk</w:t>
            </w:r>
            <w:proofErr w:type="spellEnd"/>
            <w:r w:rsidRPr="0095251D">
              <w:rPr>
                <w:rFonts w:ascii="Arial" w:hAnsi="Arial" w:cs="Arial"/>
              </w:rPr>
              <w:t xml:space="preserve">, Primary-SELV: 275 </w:t>
            </w:r>
            <w:proofErr w:type="spellStart"/>
            <w:r w:rsidRPr="0095251D">
              <w:rPr>
                <w:rFonts w:ascii="Arial" w:hAnsi="Arial" w:cs="Arial"/>
              </w:rPr>
              <w:t>Vrms</w:t>
            </w:r>
            <w:proofErr w:type="spellEnd"/>
            <w:r w:rsidRPr="0095251D">
              <w:rPr>
                <w:rFonts w:ascii="Arial" w:hAnsi="Arial" w:cs="Arial"/>
              </w:rPr>
              <w:t xml:space="preserve">, 520 </w:t>
            </w:r>
            <w:proofErr w:type="spellStart"/>
            <w:r w:rsidRPr="0095251D">
              <w:rPr>
                <w:rFonts w:ascii="Arial" w:hAnsi="Arial" w:cs="Arial"/>
              </w:rPr>
              <w:t>Vpk</w:t>
            </w:r>
            <w:proofErr w:type="spellEnd"/>
            <w:r w:rsidRPr="0095251D">
              <w:rPr>
                <w:rFonts w:ascii="Arial" w:hAnsi="Arial" w:cs="Arial"/>
              </w:rPr>
              <w:t xml:space="preserve">, , PC-0148-100-0, Primary-Earthed Dead Metal: 243 </w:t>
            </w:r>
            <w:proofErr w:type="spellStart"/>
            <w:r w:rsidRPr="0095251D">
              <w:rPr>
                <w:rFonts w:ascii="Arial" w:hAnsi="Arial" w:cs="Arial"/>
              </w:rPr>
              <w:t>Vrms</w:t>
            </w:r>
            <w:proofErr w:type="spellEnd"/>
            <w:r w:rsidRPr="0095251D">
              <w:rPr>
                <w:rFonts w:ascii="Arial" w:hAnsi="Arial" w:cs="Arial"/>
              </w:rPr>
              <w:t xml:space="preserve">, 464 </w:t>
            </w:r>
            <w:proofErr w:type="spellStart"/>
            <w:r w:rsidRPr="0095251D">
              <w:rPr>
                <w:rFonts w:ascii="Arial" w:hAnsi="Arial" w:cs="Arial"/>
              </w:rPr>
              <w:t>Vpk</w:t>
            </w:r>
            <w:proofErr w:type="spellEnd"/>
            <w:r w:rsidRPr="0095251D">
              <w:rPr>
                <w:rFonts w:ascii="Arial" w:hAnsi="Arial" w:cs="Arial"/>
              </w:rPr>
              <w:t xml:space="preserve">, Primary-SELV: 249 </w:t>
            </w:r>
            <w:proofErr w:type="spellStart"/>
            <w:r w:rsidRPr="0095251D">
              <w:rPr>
                <w:rFonts w:ascii="Arial" w:hAnsi="Arial" w:cs="Arial"/>
              </w:rPr>
              <w:t>Vrms</w:t>
            </w:r>
            <w:proofErr w:type="spellEnd"/>
            <w:r w:rsidRPr="0095251D">
              <w:rPr>
                <w:rFonts w:ascii="Arial" w:hAnsi="Arial" w:cs="Arial"/>
              </w:rPr>
              <w:t xml:space="preserve">, 512 </w:t>
            </w:r>
            <w:proofErr w:type="spellStart"/>
            <w:r w:rsidRPr="0095251D">
              <w:rPr>
                <w:rFonts w:ascii="Arial" w:hAnsi="Arial" w:cs="Arial"/>
              </w:rPr>
              <w:t>Vpk</w:t>
            </w:r>
            <w:proofErr w:type="spellEnd"/>
            <w:r w:rsidRPr="0095251D">
              <w:rPr>
                <w:rFonts w:ascii="Arial" w:hAnsi="Arial" w:cs="Arial"/>
              </w:rPr>
              <w:t xml:space="preserve">, , PC-1024-050-0, Primary-Earthed Dead Metal: 295 </w:t>
            </w:r>
            <w:proofErr w:type="spellStart"/>
            <w:r w:rsidRPr="0095251D">
              <w:rPr>
                <w:rFonts w:ascii="Arial" w:hAnsi="Arial" w:cs="Arial"/>
              </w:rPr>
              <w:t>Vrms</w:t>
            </w:r>
            <w:proofErr w:type="spellEnd"/>
            <w:r w:rsidRPr="0095251D">
              <w:rPr>
                <w:rFonts w:ascii="Arial" w:hAnsi="Arial" w:cs="Arial"/>
              </w:rPr>
              <w:t xml:space="preserve">, 760 </w:t>
            </w:r>
            <w:proofErr w:type="spellStart"/>
            <w:r w:rsidRPr="0095251D">
              <w:rPr>
                <w:rFonts w:ascii="Arial" w:hAnsi="Arial" w:cs="Arial"/>
              </w:rPr>
              <w:t>Vpk</w:t>
            </w:r>
            <w:proofErr w:type="spellEnd"/>
            <w:r w:rsidRPr="0095251D">
              <w:rPr>
                <w:rFonts w:ascii="Arial" w:hAnsi="Arial" w:cs="Arial"/>
              </w:rPr>
              <w:t xml:space="preserve">, Primary-SELV: 317 </w:t>
            </w:r>
            <w:proofErr w:type="spellStart"/>
            <w:r w:rsidRPr="0095251D">
              <w:rPr>
                <w:rFonts w:ascii="Arial" w:hAnsi="Arial" w:cs="Arial"/>
              </w:rPr>
              <w:t>Vrms</w:t>
            </w:r>
            <w:proofErr w:type="spellEnd"/>
            <w:r w:rsidRPr="0095251D">
              <w:rPr>
                <w:rFonts w:ascii="Arial" w:hAnsi="Arial" w:cs="Arial"/>
              </w:rPr>
              <w:t xml:space="preserve">, 816 </w:t>
            </w:r>
            <w:proofErr w:type="spellStart"/>
            <w:r w:rsidRPr="0095251D">
              <w:rPr>
                <w:rFonts w:ascii="Arial" w:hAnsi="Arial" w:cs="Arial"/>
              </w:rPr>
              <w:t>Vpk</w:t>
            </w:r>
            <w:proofErr w:type="spellEnd"/>
            <w:r w:rsidRPr="0095251D">
              <w:rPr>
                <w:rFonts w:ascii="Arial" w:hAnsi="Arial" w:cs="Arial"/>
              </w:rPr>
              <w:t xml:space="preserve"> </w:t>
            </w:r>
          </w:p>
        </w:tc>
      </w:tr>
      <w:tr w:rsidR="001235B1" w:rsidRPr="0095251D" w14:paraId="21CBA5C7" w14:textId="77777777" w:rsidTr="007D46F3">
        <w:tc>
          <w:tcPr>
            <w:tcW w:w="9750" w:type="dxa"/>
            <w:tcBorders>
              <w:top w:val="nil"/>
              <w:left w:val="single" w:sz="4" w:space="0" w:color="auto"/>
              <w:bottom w:val="nil"/>
              <w:right w:val="single" w:sz="4" w:space="0" w:color="auto"/>
            </w:tcBorders>
            <w:hideMark/>
          </w:tcPr>
          <w:p w14:paraId="305E03FC" w14:textId="77777777" w:rsidR="001235B1" w:rsidRPr="0095251D" w:rsidRDefault="001235B1" w:rsidP="001235B1">
            <w:pPr>
              <w:keepNext/>
              <w:numPr>
                <w:ilvl w:val="0"/>
                <w:numId w:val="3"/>
              </w:numPr>
              <w:rPr>
                <w:rFonts w:ascii="Arial" w:hAnsi="Arial" w:cs="Arial"/>
              </w:rPr>
            </w:pPr>
            <w:r w:rsidRPr="0095251D">
              <w:rPr>
                <w:rFonts w:ascii="Arial" w:hAnsi="Arial" w:cs="Arial"/>
              </w:rPr>
              <w:t xml:space="preserve">The following secondary output circuits are SELV: All </w:t>
            </w:r>
          </w:p>
        </w:tc>
      </w:tr>
      <w:tr w:rsidR="001235B1" w:rsidRPr="0095251D" w14:paraId="482C9CED" w14:textId="77777777" w:rsidTr="007D46F3">
        <w:tc>
          <w:tcPr>
            <w:tcW w:w="9750" w:type="dxa"/>
            <w:tcBorders>
              <w:top w:val="nil"/>
              <w:left w:val="single" w:sz="4" w:space="0" w:color="auto"/>
              <w:bottom w:val="nil"/>
              <w:right w:val="single" w:sz="4" w:space="0" w:color="auto"/>
            </w:tcBorders>
            <w:hideMark/>
          </w:tcPr>
          <w:p w14:paraId="1CA384DC" w14:textId="77777777" w:rsidR="001235B1" w:rsidRPr="0095251D" w:rsidRDefault="001235B1" w:rsidP="001235B1">
            <w:pPr>
              <w:keepNext/>
              <w:numPr>
                <w:ilvl w:val="0"/>
                <w:numId w:val="4"/>
              </w:numPr>
              <w:rPr>
                <w:rFonts w:ascii="Arial" w:hAnsi="Arial" w:cs="Arial"/>
              </w:rPr>
            </w:pPr>
            <w:r w:rsidRPr="0095251D">
              <w:rPr>
                <w:rFonts w:ascii="Arial" w:hAnsi="Arial" w:cs="Arial"/>
              </w:rPr>
              <w:t xml:space="preserve">The power supply terminals and/or connectors are: Suitable for field wiring </w:t>
            </w:r>
          </w:p>
        </w:tc>
      </w:tr>
      <w:tr w:rsidR="001235B1" w:rsidRPr="0095251D" w14:paraId="26925B92" w14:textId="77777777" w:rsidTr="007D46F3">
        <w:tc>
          <w:tcPr>
            <w:tcW w:w="9750" w:type="dxa"/>
            <w:tcBorders>
              <w:top w:val="nil"/>
              <w:left w:val="single" w:sz="4" w:space="0" w:color="auto"/>
              <w:bottom w:val="nil"/>
              <w:right w:val="single" w:sz="4" w:space="0" w:color="auto"/>
            </w:tcBorders>
            <w:hideMark/>
          </w:tcPr>
          <w:p w14:paraId="728D01FE" w14:textId="77777777" w:rsidR="001235B1" w:rsidRPr="0095251D" w:rsidRDefault="001235B1" w:rsidP="001235B1">
            <w:pPr>
              <w:keepNext/>
              <w:numPr>
                <w:ilvl w:val="0"/>
                <w:numId w:val="5"/>
              </w:numPr>
              <w:rPr>
                <w:rFonts w:ascii="Arial" w:hAnsi="Arial" w:cs="Arial"/>
              </w:rPr>
            </w:pPr>
            <w:r w:rsidRPr="0095251D">
              <w:rPr>
                <w:rFonts w:ascii="Arial" w:hAnsi="Arial" w:cs="Arial"/>
              </w:rPr>
              <w:t xml:space="preserve">The maximum investigated branch circuit rating is: 20 A </w:t>
            </w:r>
          </w:p>
        </w:tc>
      </w:tr>
      <w:tr w:rsidR="001235B1" w:rsidRPr="0095251D" w14:paraId="55E8B7CB" w14:textId="77777777" w:rsidTr="007D46F3">
        <w:tc>
          <w:tcPr>
            <w:tcW w:w="9750" w:type="dxa"/>
            <w:tcBorders>
              <w:top w:val="nil"/>
              <w:left w:val="single" w:sz="4" w:space="0" w:color="auto"/>
              <w:bottom w:val="nil"/>
              <w:right w:val="single" w:sz="4" w:space="0" w:color="auto"/>
            </w:tcBorders>
            <w:hideMark/>
          </w:tcPr>
          <w:p w14:paraId="57CFB1E6" w14:textId="77777777" w:rsidR="001235B1" w:rsidRPr="0095251D" w:rsidRDefault="001235B1" w:rsidP="001235B1">
            <w:pPr>
              <w:keepNext/>
              <w:numPr>
                <w:ilvl w:val="0"/>
                <w:numId w:val="6"/>
              </w:numPr>
              <w:rPr>
                <w:rFonts w:ascii="Arial" w:hAnsi="Arial" w:cs="Arial"/>
              </w:rPr>
            </w:pPr>
            <w:r w:rsidRPr="0095251D">
              <w:rPr>
                <w:rFonts w:ascii="Arial" w:hAnsi="Arial" w:cs="Arial"/>
              </w:rPr>
              <w:t xml:space="preserve">The investigated Pollution Degree is: 2 </w:t>
            </w:r>
          </w:p>
        </w:tc>
      </w:tr>
      <w:tr w:rsidR="001235B1" w:rsidRPr="0095251D" w14:paraId="3402B41C" w14:textId="77777777" w:rsidTr="007D46F3">
        <w:tc>
          <w:tcPr>
            <w:tcW w:w="9750" w:type="dxa"/>
            <w:tcBorders>
              <w:top w:val="nil"/>
              <w:left w:val="single" w:sz="4" w:space="0" w:color="auto"/>
              <w:bottom w:val="nil"/>
              <w:right w:val="single" w:sz="4" w:space="0" w:color="auto"/>
            </w:tcBorders>
            <w:hideMark/>
          </w:tcPr>
          <w:p w14:paraId="5BDFCE85" w14:textId="77777777" w:rsidR="001235B1" w:rsidRPr="0095251D" w:rsidRDefault="001235B1" w:rsidP="001235B1">
            <w:pPr>
              <w:keepNext/>
              <w:numPr>
                <w:ilvl w:val="0"/>
                <w:numId w:val="7"/>
              </w:numPr>
              <w:rPr>
                <w:rFonts w:ascii="Arial" w:hAnsi="Arial" w:cs="Arial"/>
              </w:rPr>
            </w:pPr>
            <w:r w:rsidRPr="0095251D">
              <w:rPr>
                <w:rFonts w:ascii="Arial" w:hAnsi="Arial" w:cs="Arial"/>
              </w:rPr>
              <w:t xml:space="preserve">Proper bonding to the end-product main protective earthing termination is: Required </w:t>
            </w:r>
          </w:p>
        </w:tc>
      </w:tr>
      <w:tr w:rsidR="001235B1" w:rsidRPr="0095251D" w14:paraId="1915743F" w14:textId="77777777" w:rsidTr="007D46F3">
        <w:tc>
          <w:tcPr>
            <w:tcW w:w="9750" w:type="dxa"/>
            <w:tcBorders>
              <w:top w:val="nil"/>
              <w:left w:val="single" w:sz="4" w:space="0" w:color="auto"/>
              <w:bottom w:val="nil"/>
              <w:right w:val="single" w:sz="4" w:space="0" w:color="auto"/>
            </w:tcBorders>
            <w:hideMark/>
          </w:tcPr>
          <w:p w14:paraId="66C4704F" w14:textId="77777777" w:rsidR="001235B1" w:rsidRPr="0095251D" w:rsidRDefault="001235B1" w:rsidP="001235B1">
            <w:pPr>
              <w:keepNext/>
              <w:numPr>
                <w:ilvl w:val="0"/>
                <w:numId w:val="8"/>
              </w:numPr>
              <w:rPr>
                <w:rFonts w:ascii="Arial" w:hAnsi="Arial" w:cs="Arial"/>
              </w:rPr>
            </w:pPr>
            <w:r w:rsidRPr="0095251D">
              <w:rPr>
                <w:rFonts w:ascii="Arial" w:hAnsi="Arial" w:cs="Arial"/>
              </w:rPr>
              <w:t xml:space="preserve">An investigation of the protective bonding terminals has: Been conducted </w:t>
            </w:r>
          </w:p>
        </w:tc>
      </w:tr>
      <w:tr w:rsidR="001235B1" w:rsidRPr="0095251D" w14:paraId="53300478" w14:textId="77777777" w:rsidTr="007D46F3">
        <w:tc>
          <w:tcPr>
            <w:tcW w:w="9750" w:type="dxa"/>
            <w:tcBorders>
              <w:top w:val="nil"/>
              <w:left w:val="single" w:sz="4" w:space="0" w:color="auto"/>
              <w:bottom w:val="nil"/>
              <w:right w:val="single" w:sz="4" w:space="0" w:color="auto"/>
            </w:tcBorders>
            <w:hideMark/>
          </w:tcPr>
          <w:p w14:paraId="67195DCA" w14:textId="77777777" w:rsidR="001235B1" w:rsidRPr="0095251D" w:rsidRDefault="001235B1" w:rsidP="001235B1">
            <w:pPr>
              <w:keepNext/>
              <w:numPr>
                <w:ilvl w:val="0"/>
                <w:numId w:val="9"/>
              </w:numPr>
              <w:rPr>
                <w:rFonts w:ascii="Arial" w:hAnsi="Arial" w:cs="Arial"/>
              </w:rPr>
            </w:pPr>
            <w:r w:rsidRPr="0095251D">
              <w:rPr>
                <w:rFonts w:ascii="Arial" w:hAnsi="Arial" w:cs="Arial"/>
              </w:rPr>
              <w:t xml:space="preserve">The following input terminals/connectors must be connected to the end-product supply neutral: Middle terminal marked "N". </w:t>
            </w:r>
          </w:p>
        </w:tc>
      </w:tr>
      <w:tr w:rsidR="001235B1" w:rsidRPr="0095251D" w14:paraId="4A1CE768" w14:textId="77777777" w:rsidTr="007D46F3">
        <w:tc>
          <w:tcPr>
            <w:tcW w:w="9750" w:type="dxa"/>
            <w:tcBorders>
              <w:top w:val="nil"/>
              <w:left w:val="single" w:sz="4" w:space="0" w:color="auto"/>
              <w:bottom w:val="nil"/>
              <w:right w:val="single" w:sz="4" w:space="0" w:color="auto"/>
            </w:tcBorders>
            <w:hideMark/>
          </w:tcPr>
          <w:p w14:paraId="7428539F" w14:textId="77777777" w:rsidR="001235B1" w:rsidRPr="0095251D" w:rsidRDefault="001235B1" w:rsidP="001235B1">
            <w:pPr>
              <w:keepNext/>
              <w:numPr>
                <w:ilvl w:val="0"/>
                <w:numId w:val="10"/>
              </w:numPr>
              <w:rPr>
                <w:rFonts w:ascii="Arial" w:hAnsi="Arial" w:cs="Arial"/>
              </w:rPr>
            </w:pPr>
            <w:r w:rsidRPr="0095251D">
              <w:rPr>
                <w:rFonts w:ascii="Arial" w:hAnsi="Arial" w:cs="Arial"/>
              </w:rPr>
              <w:t>The following magnetic devices (</w:t>
            </w:r>
            <w:proofErr w:type="gramStart"/>
            <w:r w:rsidRPr="0095251D">
              <w:rPr>
                <w:rFonts w:ascii="Arial" w:hAnsi="Arial" w:cs="Arial"/>
              </w:rPr>
              <w:t>e.g.</w:t>
            </w:r>
            <w:proofErr w:type="gramEnd"/>
            <w:r w:rsidRPr="0095251D">
              <w:rPr>
                <w:rFonts w:ascii="Arial" w:hAnsi="Arial" w:cs="Arial"/>
              </w:rPr>
              <w:t xml:space="preserve"> transformers or inductor) are provided with an OBJY2 insulation system with the indicated rating greater than Class A (105°C): All Inductors and Transformers Class F. </w:t>
            </w:r>
          </w:p>
        </w:tc>
      </w:tr>
      <w:tr w:rsidR="001235B1" w:rsidRPr="0095251D" w14:paraId="0F62BE17" w14:textId="77777777" w:rsidTr="007D46F3">
        <w:tc>
          <w:tcPr>
            <w:tcW w:w="9750" w:type="dxa"/>
            <w:tcBorders>
              <w:top w:val="nil"/>
              <w:left w:val="single" w:sz="4" w:space="0" w:color="auto"/>
              <w:bottom w:val="nil"/>
              <w:right w:val="single" w:sz="4" w:space="0" w:color="auto"/>
            </w:tcBorders>
            <w:hideMark/>
          </w:tcPr>
          <w:p w14:paraId="51E6694E" w14:textId="77777777" w:rsidR="001235B1" w:rsidRPr="0095251D" w:rsidRDefault="001235B1" w:rsidP="001235B1">
            <w:pPr>
              <w:keepNext/>
              <w:numPr>
                <w:ilvl w:val="0"/>
                <w:numId w:val="11"/>
              </w:numPr>
              <w:rPr>
                <w:rFonts w:ascii="Arial" w:hAnsi="Arial" w:cs="Arial"/>
              </w:rPr>
            </w:pPr>
            <w:r w:rsidRPr="0095251D">
              <w:rPr>
                <w:rFonts w:ascii="Arial" w:hAnsi="Arial" w:cs="Arial"/>
              </w:rPr>
              <w:t>The following end-product enclosures are required: Fire, Electrical</w:t>
            </w:r>
            <w:proofErr w:type="gramStart"/>
            <w:r w:rsidRPr="0095251D">
              <w:rPr>
                <w:rFonts w:ascii="Arial" w:hAnsi="Arial" w:cs="Arial"/>
              </w:rPr>
              <w:t>, ,</w:t>
            </w:r>
            <w:proofErr w:type="gramEnd"/>
            <w:r w:rsidRPr="0095251D">
              <w:rPr>
                <w:rFonts w:ascii="Arial" w:hAnsi="Arial" w:cs="Arial"/>
              </w:rPr>
              <w:t xml:space="preserve"> Unit is Intended for building-in. Enclosure and Bezel were not evaluated as neither a fire nor an electrical enclosure. </w:t>
            </w:r>
          </w:p>
        </w:tc>
      </w:tr>
      <w:tr w:rsidR="001235B1" w:rsidRPr="0095251D" w14:paraId="11F3A073" w14:textId="77777777" w:rsidTr="007D46F3">
        <w:tc>
          <w:tcPr>
            <w:tcW w:w="9750" w:type="dxa"/>
            <w:tcBorders>
              <w:top w:val="nil"/>
              <w:left w:val="single" w:sz="4" w:space="0" w:color="auto"/>
              <w:bottom w:val="nil"/>
              <w:right w:val="single" w:sz="4" w:space="0" w:color="auto"/>
            </w:tcBorders>
            <w:hideMark/>
          </w:tcPr>
          <w:p w14:paraId="5A232948" w14:textId="77777777" w:rsidR="001235B1" w:rsidRPr="0095251D" w:rsidRDefault="001235B1" w:rsidP="001235B1">
            <w:pPr>
              <w:keepNext/>
              <w:numPr>
                <w:ilvl w:val="0"/>
                <w:numId w:val="12"/>
              </w:numPr>
              <w:rPr>
                <w:rFonts w:ascii="Arial" w:hAnsi="Arial" w:cs="Arial"/>
              </w:rPr>
            </w:pPr>
            <w:r w:rsidRPr="0095251D">
              <w:rPr>
                <w:rFonts w:ascii="Arial" w:hAnsi="Arial" w:cs="Arial"/>
              </w:rPr>
              <w:t xml:space="preserve">Model PC-1024-050-0 contains a battery charging circuit and is intended to charge Listed Lead Acid Batteries rated 24Vdc, 12Ah. The batteries were not provided for this investigation. Single fault testing was conducted on the battery charging circuit with representative Lead Acid Batteries and the maximum current was recorded. For charging, 0.61A was measured and for discharging 0.6A was measured. See Table 4.3.8 for details. Also, the Heating Test was conducted with the unit charging a discharged Lead Acid Battery, see Table 4.5 for details. </w:t>
            </w:r>
          </w:p>
        </w:tc>
      </w:tr>
      <w:tr w:rsidR="001235B1" w:rsidRPr="0095251D" w14:paraId="3F87D7DE" w14:textId="77777777" w:rsidTr="007D46F3">
        <w:tc>
          <w:tcPr>
            <w:tcW w:w="9750" w:type="dxa"/>
            <w:tcBorders>
              <w:top w:val="nil"/>
              <w:left w:val="single" w:sz="4" w:space="0" w:color="auto"/>
              <w:bottom w:val="nil"/>
              <w:right w:val="single" w:sz="4" w:space="0" w:color="auto"/>
            </w:tcBorders>
            <w:hideMark/>
          </w:tcPr>
          <w:p w14:paraId="4A5F27D4" w14:textId="77777777" w:rsidR="001235B1" w:rsidRPr="0095251D" w:rsidRDefault="001235B1" w:rsidP="001235B1">
            <w:pPr>
              <w:keepNext/>
              <w:numPr>
                <w:ilvl w:val="0"/>
                <w:numId w:val="13"/>
              </w:numPr>
              <w:rPr>
                <w:rFonts w:ascii="Arial" w:hAnsi="Arial" w:cs="Arial"/>
              </w:rPr>
            </w:pPr>
            <w:r w:rsidRPr="0095251D">
              <w:rPr>
                <w:rFonts w:ascii="Arial" w:hAnsi="Arial" w:cs="Arial"/>
              </w:rPr>
              <w:t xml:space="preserve">Model PC-1024-050-0 contains a charging circuit and is intended to be connected to Listed Lead Acid batteries, Rated 24Vdc, 12Ah. Reverse polarity is </w:t>
            </w:r>
            <w:proofErr w:type="gramStart"/>
            <w:r w:rsidRPr="0095251D">
              <w:rPr>
                <w:rFonts w:ascii="Arial" w:hAnsi="Arial" w:cs="Arial"/>
              </w:rPr>
              <w:t>possible</w:t>
            </w:r>
            <w:proofErr w:type="gramEnd"/>
            <w:r w:rsidRPr="0095251D">
              <w:rPr>
                <w:rFonts w:ascii="Arial" w:hAnsi="Arial" w:cs="Arial"/>
              </w:rPr>
              <w:t xml:space="preserve"> and prevention is to be evaluated in the end product. </w:t>
            </w:r>
          </w:p>
        </w:tc>
      </w:tr>
      <w:tr w:rsidR="001235B1" w:rsidRPr="0095251D" w14:paraId="664D1260" w14:textId="77777777" w:rsidTr="007D46F3">
        <w:tc>
          <w:tcPr>
            <w:tcW w:w="9750" w:type="dxa"/>
            <w:tcBorders>
              <w:top w:val="nil"/>
              <w:left w:val="single" w:sz="4" w:space="0" w:color="auto"/>
              <w:bottom w:val="nil"/>
              <w:right w:val="single" w:sz="4" w:space="0" w:color="auto"/>
            </w:tcBorders>
            <w:hideMark/>
          </w:tcPr>
          <w:p w14:paraId="5971300C" w14:textId="77777777" w:rsidR="001235B1" w:rsidRPr="0095251D" w:rsidRDefault="001235B1" w:rsidP="001235B1">
            <w:pPr>
              <w:keepNext/>
              <w:numPr>
                <w:ilvl w:val="0"/>
                <w:numId w:val="14"/>
              </w:numPr>
              <w:rPr>
                <w:rFonts w:ascii="Arial" w:hAnsi="Arial" w:cs="Arial"/>
              </w:rPr>
            </w:pPr>
            <w:r w:rsidRPr="0095251D">
              <w:rPr>
                <w:rFonts w:ascii="Arial" w:hAnsi="Arial" w:cs="Arial"/>
              </w:rPr>
              <w:t xml:space="preserve">Consideration of investigation of Model PC-1024-050 with use of a battery pack in the </w:t>
            </w:r>
            <w:proofErr w:type="gramStart"/>
            <w:r w:rsidRPr="0095251D">
              <w:rPr>
                <w:rFonts w:ascii="Arial" w:hAnsi="Arial" w:cs="Arial"/>
              </w:rPr>
              <w:t>end product</w:t>
            </w:r>
            <w:proofErr w:type="gramEnd"/>
            <w:r w:rsidRPr="0095251D">
              <w:rPr>
                <w:rFonts w:ascii="Arial" w:hAnsi="Arial" w:cs="Arial"/>
              </w:rPr>
              <w:t xml:space="preserve"> shall be made. </w:t>
            </w:r>
          </w:p>
        </w:tc>
      </w:tr>
      <w:tr w:rsidR="001235B1" w:rsidRPr="0095251D" w14:paraId="28C4897F" w14:textId="77777777" w:rsidTr="007D46F3">
        <w:tc>
          <w:tcPr>
            <w:tcW w:w="9750" w:type="dxa"/>
            <w:tcBorders>
              <w:top w:val="nil"/>
              <w:left w:val="single" w:sz="4" w:space="0" w:color="auto"/>
              <w:bottom w:val="nil"/>
              <w:right w:val="single" w:sz="4" w:space="0" w:color="auto"/>
            </w:tcBorders>
            <w:hideMark/>
          </w:tcPr>
          <w:p w14:paraId="35C6DACC" w14:textId="77777777" w:rsidR="001235B1" w:rsidRPr="0095251D" w:rsidRDefault="001235B1" w:rsidP="001235B1">
            <w:pPr>
              <w:keepNext/>
              <w:numPr>
                <w:ilvl w:val="0"/>
                <w:numId w:val="15"/>
              </w:numPr>
              <w:rPr>
                <w:rFonts w:ascii="Arial" w:hAnsi="Arial" w:cs="Arial"/>
              </w:rPr>
            </w:pPr>
            <w:r w:rsidRPr="0095251D">
              <w:rPr>
                <w:rFonts w:ascii="Arial" w:hAnsi="Arial" w:cs="Arial"/>
              </w:rPr>
              <w:t xml:space="preserve">All dc outputs are an energy hazard except for the following models: PC-0124-050-0 and PC-1024-050-0. </w:t>
            </w:r>
          </w:p>
        </w:tc>
      </w:tr>
      <w:tr w:rsidR="001235B1" w:rsidRPr="0095251D" w14:paraId="7F070B83" w14:textId="77777777" w:rsidTr="007D46F3">
        <w:tc>
          <w:tcPr>
            <w:tcW w:w="9750" w:type="dxa"/>
            <w:tcBorders>
              <w:top w:val="nil"/>
              <w:left w:val="single" w:sz="4" w:space="0" w:color="auto"/>
              <w:bottom w:val="nil"/>
              <w:right w:val="single" w:sz="4" w:space="0" w:color="auto"/>
            </w:tcBorders>
            <w:hideMark/>
          </w:tcPr>
          <w:p w14:paraId="16DB8842" w14:textId="77777777" w:rsidR="001235B1" w:rsidRPr="0095251D" w:rsidRDefault="001235B1" w:rsidP="001235B1">
            <w:pPr>
              <w:keepNext/>
              <w:numPr>
                <w:ilvl w:val="0"/>
                <w:numId w:val="16"/>
              </w:numPr>
              <w:rPr>
                <w:rFonts w:ascii="Arial" w:hAnsi="Arial" w:cs="Arial"/>
              </w:rPr>
            </w:pPr>
            <w:r w:rsidRPr="0095251D">
              <w:rPr>
                <w:rFonts w:ascii="Arial" w:hAnsi="Arial" w:cs="Arial"/>
              </w:rPr>
              <w:t xml:space="preserve">Because all models in this report are intended for building into either a permanently connected or a pluggable type B </w:t>
            </w:r>
            <w:proofErr w:type="gramStart"/>
            <w:r w:rsidRPr="0095251D">
              <w:rPr>
                <w:rFonts w:ascii="Arial" w:hAnsi="Arial" w:cs="Arial"/>
              </w:rPr>
              <w:t>end product</w:t>
            </w:r>
            <w:proofErr w:type="gramEnd"/>
            <w:r w:rsidRPr="0095251D">
              <w:rPr>
                <w:rFonts w:ascii="Arial" w:hAnsi="Arial" w:cs="Arial"/>
              </w:rPr>
              <w:t xml:space="preserve">, the Capacitance Discharge Test was conducted at 10s. Only the Model PC-1024-050-0 complies with the Capacitance Discharge Test at 1 s and at 10s. Consideration to repeat capacitance discharge shall be made in </w:t>
            </w:r>
            <w:proofErr w:type="gramStart"/>
            <w:r w:rsidRPr="0095251D">
              <w:rPr>
                <w:rFonts w:ascii="Arial" w:hAnsi="Arial" w:cs="Arial"/>
              </w:rPr>
              <w:t>end product</w:t>
            </w:r>
            <w:proofErr w:type="gramEnd"/>
            <w:r w:rsidRPr="0095251D">
              <w:rPr>
                <w:rFonts w:ascii="Arial" w:hAnsi="Arial" w:cs="Arial"/>
              </w:rPr>
              <w:t xml:space="preserve">. </w:t>
            </w:r>
          </w:p>
        </w:tc>
      </w:tr>
      <w:tr w:rsidR="001235B1" w:rsidRPr="0095251D" w14:paraId="72C05B6C" w14:textId="77777777" w:rsidTr="007D46F3">
        <w:tc>
          <w:tcPr>
            <w:tcW w:w="9750" w:type="dxa"/>
            <w:tcBorders>
              <w:top w:val="nil"/>
              <w:left w:val="single" w:sz="4" w:space="0" w:color="auto"/>
              <w:bottom w:val="nil"/>
              <w:right w:val="single" w:sz="4" w:space="0" w:color="auto"/>
            </w:tcBorders>
            <w:hideMark/>
          </w:tcPr>
          <w:p w14:paraId="4C51A1FE" w14:textId="77777777" w:rsidR="001235B1" w:rsidRPr="0095251D" w:rsidRDefault="001235B1" w:rsidP="001235B1">
            <w:pPr>
              <w:keepNext/>
              <w:numPr>
                <w:ilvl w:val="0"/>
                <w:numId w:val="17"/>
              </w:numPr>
              <w:rPr>
                <w:rFonts w:ascii="Arial" w:hAnsi="Arial" w:cs="Arial"/>
              </w:rPr>
            </w:pPr>
            <w:r w:rsidRPr="0095251D">
              <w:rPr>
                <w:rFonts w:ascii="Arial" w:hAnsi="Arial" w:cs="Arial"/>
              </w:rPr>
              <w:t xml:space="preserve">All the power supplies in this report are intended for building in; the metal enclosure of the power supplies must have unintentional contact when installed in the </w:t>
            </w:r>
            <w:proofErr w:type="gramStart"/>
            <w:r w:rsidRPr="0095251D">
              <w:rPr>
                <w:rFonts w:ascii="Arial" w:hAnsi="Arial" w:cs="Arial"/>
              </w:rPr>
              <w:t>end product</w:t>
            </w:r>
            <w:proofErr w:type="gramEnd"/>
            <w:r w:rsidRPr="0095251D">
              <w:rPr>
                <w:rFonts w:ascii="Arial" w:hAnsi="Arial" w:cs="Arial"/>
              </w:rPr>
              <w:t xml:space="preserve">. (See hot marking symbol on enclosure metal chassis). </w:t>
            </w:r>
          </w:p>
        </w:tc>
      </w:tr>
    </w:tbl>
    <w:p w14:paraId="020E4F99" w14:textId="77777777" w:rsidR="001235B1" w:rsidRDefault="001235B1"/>
    <w:sectPr w:rsidR="001235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6D6"/>
    <w:multiLevelType w:val="multilevel"/>
    <w:tmpl w:val="308CB1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63232F"/>
    <w:multiLevelType w:val="multilevel"/>
    <w:tmpl w:val="15B07A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15E78BE"/>
    <w:multiLevelType w:val="multilevel"/>
    <w:tmpl w:val="E8B4C2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39F7205"/>
    <w:multiLevelType w:val="multilevel"/>
    <w:tmpl w:val="EBB297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CC14DD3"/>
    <w:multiLevelType w:val="multilevel"/>
    <w:tmpl w:val="D7C09C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1AF60CC"/>
    <w:multiLevelType w:val="multilevel"/>
    <w:tmpl w:val="853A93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3B47065"/>
    <w:multiLevelType w:val="multilevel"/>
    <w:tmpl w:val="52D8AC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B2F682B"/>
    <w:multiLevelType w:val="multilevel"/>
    <w:tmpl w:val="10B079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5A94B12"/>
    <w:multiLevelType w:val="multilevel"/>
    <w:tmpl w:val="52CCDB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8E44802"/>
    <w:multiLevelType w:val="multilevel"/>
    <w:tmpl w:val="63088E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4F2340A"/>
    <w:multiLevelType w:val="multilevel"/>
    <w:tmpl w:val="41BC21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6352C57"/>
    <w:multiLevelType w:val="multilevel"/>
    <w:tmpl w:val="7214E1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4ED057BC"/>
    <w:multiLevelType w:val="multilevel"/>
    <w:tmpl w:val="42DC7B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579A0489"/>
    <w:multiLevelType w:val="multilevel"/>
    <w:tmpl w:val="64E05D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5B5D3C79"/>
    <w:multiLevelType w:val="multilevel"/>
    <w:tmpl w:val="5C2690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5E827A1F"/>
    <w:multiLevelType w:val="multilevel"/>
    <w:tmpl w:val="9C8AC6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743274CA"/>
    <w:multiLevelType w:val="multilevel"/>
    <w:tmpl w:val="7B669B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92197294">
    <w:abstractNumId w:val="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892498773">
    <w:abstractNumId w:val="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976985070">
    <w:abstractNumId w:val="7"/>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694040205">
    <w:abstractNumId w:val="9"/>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241871987">
    <w:abstractNumId w:val="1"/>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521046703">
    <w:abstractNumId w:val="10"/>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635260853">
    <w:abstractNumId w:val="8"/>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932513341">
    <w:abstractNumId w:val="1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34951165">
    <w:abstractNumId w:val="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714811957">
    <w:abstractNumId w:val="1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952790730">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605234709">
    <w:abstractNumId w:val="11"/>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225607536">
    <w:abstractNumId w:val="6"/>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338772931">
    <w:abstractNumId w:val="0"/>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539174759">
    <w:abstractNumId w:val="16"/>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1299913484">
    <w:abstractNumId w:val="1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952322530">
    <w:abstractNumId w:val="1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B1"/>
    <w:rsid w:val="001235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FDD8"/>
  <w15:chartTrackingRefBased/>
  <w15:docId w15:val="{3D9ED20B-8A37-4017-A9C3-DA1CDBDD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5B1"/>
    <w:pPr>
      <w:spacing w:after="0" w:line="240" w:lineRule="auto"/>
    </w:pPr>
    <w:rPr>
      <w:rFonts w:ascii="Courier New" w:eastAsia="Times New Roman" w:hAnsi="Courier New" w:cs="Times New Roman"/>
      <w:kern w:val="0"/>
      <w:sz w:val="20"/>
      <w:szCs w:val="2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3111</Characters>
  <Application>Microsoft Office Word</Application>
  <DocSecurity>0</DocSecurity>
  <Lines>25</Lines>
  <Paragraphs>7</Paragraphs>
  <ScaleCrop>false</ScaleCrop>
  <Company>BLOCK Transformatoren Elektronik GmbH</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Hainke, Nora</dc:creator>
  <cp:keywords/>
  <dc:description/>
  <cp:lastModifiedBy>Hainke, Nora</cp:lastModifiedBy>
  <cp:revision>1</cp:revision>
  <dcterms:created xsi:type="dcterms:W3CDTF">2023-11-09T11:13:00Z</dcterms:created>
  <dcterms:modified xsi:type="dcterms:W3CDTF">2023-11-09T11:14:00Z</dcterms:modified>
</cp:coreProperties>
</file>